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931"/>
      </w:tblGrid>
      <w:tr w:rsidR="004C4F46" w:rsidTr="005302F0">
        <w:trPr>
          <w:trHeight w:val="2176"/>
        </w:trPr>
        <w:tc>
          <w:tcPr>
            <w:tcW w:w="5098" w:type="dxa"/>
          </w:tcPr>
          <w:p w:rsidR="004C4F46" w:rsidRDefault="004C4F46" w:rsidP="004C4F46">
            <w:pPr>
              <w:pStyle w:val="ac"/>
              <w:tabs>
                <w:tab w:val="clear" w:pos="4677"/>
                <w:tab w:val="center" w:pos="4536"/>
                <w:tab w:val="right" w:pos="963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1" w:type="dxa"/>
          </w:tcPr>
          <w:p w:rsidR="004C4F46" w:rsidRPr="00F209AA" w:rsidRDefault="004C4F46" w:rsidP="004C4F46">
            <w:pPr>
              <w:pStyle w:val="ac"/>
              <w:tabs>
                <w:tab w:val="clear" w:pos="4677"/>
                <w:tab w:val="center" w:pos="4536"/>
                <w:tab w:val="right" w:pos="963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AA">
              <w:rPr>
                <w:rFonts w:ascii="Tahoma" w:hAnsi="Tahoma" w:cs="Tahoma"/>
                <w:sz w:val="20"/>
                <w:szCs w:val="20"/>
              </w:rPr>
              <w:t>ПРИЛОЖЕНИЕ</w:t>
            </w:r>
          </w:p>
          <w:p w:rsidR="00613A6D" w:rsidRDefault="004C4F46" w:rsidP="00613A6D">
            <w:pPr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AA">
              <w:rPr>
                <w:rFonts w:ascii="Tahoma" w:hAnsi="Tahoma" w:cs="Tahoma"/>
                <w:sz w:val="20"/>
                <w:szCs w:val="20"/>
              </w:rPr>
              <w:t xml:space="preserve">к приказу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директора подразделения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«Управление продажами»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АО «Банк ДОМ.РФ»</w:t>
            </w:r>
          </w:p>
          <w:p w:rsidR="004C4F46" w:rsidRDefault="004C4F46" w:rsidP="00613A6D">
            <w:pPr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AA"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 w:rsidR="00613A6D">
              <w:rPr>
                <w:rFonts w:ascii="Tahoma" w:hAnsi="Tahoma" w:cs="Tahoma"/>
                <w:sz w:val="20"/>
                <w:szCs w:val="20"/>
              </w:rPr>
              <w:t>22.10.2019</w:t>
            </w:r>
            <w:r w:rsidRPr="00F209AA">
              <w:rPr>
                <w:rFonts w:ascii="Tahoma" w:hAnsi="Tahoma" w:cs="Tahoma"/>
                <w:sz w:val="20"/>
                <w:szCs w:val="20"/>
              </w:rPr>
              <w:t xml:space="preserve"> № </w:t>
            </w:r>
            <w:r w:rsidR="00613A6D">
              <w:rPr>
                <w:rFonts w:ascii="Tahoma" w:hAnsi="Tahoma" w:cs="Tahoma"/>
                <w:sz w:val="20"/>
                <w:szCs w:val="20"/>
              </w:rPr>
              <w:t>10-816-пр</w:t>
            </w:r>
          </w:p>
          <w:p w:rsidR="00EE36FB" w:rsidRDefault="00613A6D" w:rsidP="00EE36FB">
            <w:pPr>
              <w:ind w:left="-9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(в редакции приказ</w:t>
            </w:r>
            <w:r w:rsidR="00EE36FB">
              <w:rPr>
                <w:rFonts w:ascii="Tahoma" w:hAnsi="Tahoma" w:cs="Tahoma"/>
                <w:sz w:val="20"/>
                <w:szCs w:val="20"/>
              </w:rPr>
              <w:t>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 </w:t>
            </w:r>
            <w:r w:rsidR="00485876" w:rsidRPr="00096B89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.12.2019 № 10-</w:t>
            </w:r>
            <w:r w:rsidR="00485876" w:rsidRPr="00485876">
              <w:rPr>
                <w:rFonts w:ascii="Tahoma" w:hAnsi="Tahoma" w:cs="Tahoma"/>
                <w:sz w:val="20"/>
                <w:szCs w:val="20"/>
              </w:rPr>
              <w:t>1056</w:t>
            </w:r>
            <w:r>
              <w:rPr>
                <w:rFonts w:ascii="Tahoma" w:hAnsi="Tahoma" w:cs="Tahoma"/>
                <w:sz w:val="20"/>
                <w:szCs w:val="20"/>
              </w:rPr>
              <w:t>-пр</w:t>
            </w:r>
            <w:r w:rsidR="00EE36F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613A6D" w:rsidRDefault="00EE36FB" w:rsidP="00C53C58">
            <w:pPr>
              <w:ind w:left="-95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 w:rsidR="00C53C58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53C58">
              <w:rPr>
                <w:rFonts w:ascii="Tahoma" w:hAnsi="Tahoma" w:cs="Tahoma"/>
                <w:sz w:val="20"/>
                <w:szCs w:val="20"/>
              </w:rPr>
              <w:t>05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.2020 № 10-</w:t>
            </w:r>
            <w:r w:rsidR="00C53C58">
              <w:rPr>
                <w:rFonts w:ascii="Tahoma" w:hAnsi="Tahoma" w:cs="Tahoma"/>
                <w:sz w:val="20"/>
                <w:szCs w:val="20"/>
              </w:rPr>
              <w:t>460</w:t>
            </w:r>
            <w:r>
              <w:rPr>
                <w:rFonts w:ascii="Tahoma" w:hAnsi="Tahoma" w:cs="Tahoma"/>
                <w:sz w:val="20"/>
                <w:szCs w:val="20"/>
              </w:rPr>
              <w:t>-пр</w:t>
            </w:r>
            <w:r w:rsidR="00613A6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____________</w:t>
      </w:r>
      <w:r w:rsidR="006E16EB">
        <w:rPr>
          <w:rFonts w:ascii="Tahoma" w:hAnsi="Tahoma" w:cs="Tahoma"/>
          <w:color w:val="auto"/>
          <w:sz w:val="16"/>
          <w:szCs w:val="16"/>
        </w:rPr>
        <w:t>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5F7CB2" w:rsidRPr="004C4F46" w:rsidRDefault="005F7CB2" w:rsidP="001D3788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</w:t>
      </w:r>
      <w:r w:rsidR="006E16EB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1D3788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6D3868">
        <w:rPr>
          <w:rFonts w:ascii="Tahoma" w:hAnsi="Tahoma" w:cs="Tahoma"/>
          <w:bCs/>
          <w:sz w:val="16"/>
          <w:szCs w:val="16"/>
        </w:rPr>
        <w:t>Контактные телефоны заявителя:</w:t>
      </w:r>
      <w:r w:rsidRPr="004C4F46">
        <w:rPr>
          <w:rFonts w:ascii="Tahoma" w:hAnsi="Tahoma" w:cs="Tahoma"/>
          <w:bCs/>
          <w:sz w:val="16"/>
          <w:szCs w:val="16"/>
        </w:rPr>
        <w:t xml:space="preserve">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="009375C0" w:rsidRPr="004C4F46">
        <w:rPr>
          <w:rFonts w:ascii="Tahoma" w:hAnsi="Tahoma" w:cs="Tahoma"/>
          <w:b/>
          <w:sz w:val="16"/>
          <w:szCs w:val="16"/>
        </w:rPr>
        <w:t xml:space="preserve">действующего от имени и/или в интересах Оператора </w:t>
      </w:r>
      <w:r w:rsidRPr="004C4F46">
        <w:rPr>
          <w:rFonts w:ascii="Tahoma" w:hAnsi="Tahoma" w:cs="Tahoma"/>
          <w:b/>
          <w:sz w:val="16"/>
          <w:szCs w:val="16"/>
        </w:rPr>
        <w:t>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A90817" w:rsidRPr="006F06FE" w:rsidRDefault="00A90817" w:rsidP="00A90817">
      <w:pPr>
        <w:rPr>
          <w:rFonts w:ascii="Tahoma" w:eastAsia="Times New Roman" w:hAnsi="Tahoma" w:cs="Tahoma"/>
          <w:bCs/>
          <w:sz w:val="10"/>
          <w:szCs w:val="10"/>
          <w:lang w:eastAsia="ru-RU"/>
        </w:rPr>
      </w:pPr>
    </w:p>
    <w:p w:rsidR="00BA2E05" w:rsidRPr="004C4F46" w:rsidRDefault="00CE52F9" w:rsidP="001D3788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</w:t>
      </w:r>
      <w:r w:rsidR="00DD090E" w:rsidRPr="004C4F46">
        <w:rPr>
          <w:rFonts w:ascii="Tahoma" w:hAnsi="Tahoma" w:cs="Tahoma"/>
          <w:sz w:val="16"/>
          <w:szCs w:val="16"/>
        </w:rPr>
        <w:lastRenderedPageBreak/>
        <w:t xml:space="preserve">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:rsidR="00DD0FE3" w:rsidRPr="004C4F46" w:rsidRDefault="00CE52F9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CE52F9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:rsidR="00071C10" w:rsidRPr="004C4F46" w:rsidRDefault="00CE52F9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A2B11" w:rsidRPr="004C4F46" w:rsidRDefault="000A2B11" w:rsidP="007228B0">
      <w:pPr>
        <w:rPr>
          <w:rFonts w:ascii="Tahoma" w:hAnsi="Tahoma" w:cs="Tahoma"/>
          <w:sz w:val="16"/>
          <w:szCs w:val="16"/>
        </w:rPr>
      </w:pPr>
    </w:p>
    <w:p w:rsidR="00071C10" w:rsidRPr="004C4F46" w:rsidRDefault="00CE52F9" w:rsidP="006F06FE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:rsidR="00AD084F" w:rsidRPr="00B077E8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CE52F9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B077E8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CE52F9" w:rsidP="006F06FE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-142" w:hanging="142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:rsidR="006749A7" w:rsidRPr="001D3788" w:rsidRDefault="006749A7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CE52F9" w:rsidP="006F06FE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E851CB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610E71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610E71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610E71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610E71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610E71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610E71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E851CB" w:rsidRDefault="00E851CB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10690D" w:rsidRPr="00B61997" w:rsidRDefault="00E851CB" w:rsidP="006F06FE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B61997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 w:rsidRPr="00B6199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0690D" w:rsidRPr="00B61997">
        <w:rPr>
          <w:rFonts w:ascii="MS Gothic" w:eastAsia="MS Gothic" w:hAnsi="MS Gothic" w:hint="eastAsia"/>
          <w:sz w:val="16"/>
          <w:szCs w:val="16"/>
        </w:rPr>
        <w:t> </w:t>
      </w:r>
      <w:r w:rsidR="0010690D" w:rsidRPr="00B61997">
        <w:rPr>
          <w:rFonts w:ascii="Tahoma" w:hAnsi="Tahoma" w:cs="Tahoma"/>
          <w:sz w:val="18"/>
          <w:szCs w:val="16"/>
        </w:rPr>
        <w:t>Подтверждаю</w:t>
      </w:r>
      <w:r w:rsidR="0010690D" w:rsidRPr="00B61997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="0010690D" w:rsidRPr="00B61997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="0010690D" w:rsidRPr="00B61997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 w:rsidRPr="00B61997">
        <w:rPr>
          <w:rFonts w:ascii="Tahoma" w:hAnsi="Tahoma" w:cs="Tahoma"/>
          <w:sz w:val="16"/>
          <w:szCs w:val="16"/>
        </w:rPr>
        <w:t xml:space="preserve">соответствии меня как заемщика и цели рефинансируемого кредита, а также иных условий, требованиям, установленным в </w:t>
      </w:r>
      <w:r w:rsidR="000220AB" w:rsidRPr="00B61997">
        <w:rPr>
          <w:rFonts w:ascii="Tahoma" w:hAnsi="Tahoma" w:cs="Tahoma"/>
          <w:sz w:val="16"/>
          <w:szCs w:val="16"/>
        </w:rPr>
        <w:t>Постановлени</w:t>
      </w:r>
      <w:r w:rsidRPr="00B61997">
        <w:rPr>
          <w:rFonts w:ascii="Tahoma" w:hAnsi="Tahoma" w:cs="Tahoma"/>
          <w:sz w:val="16"/>
          <w:szCs w:val="16"/>
        </w:rPr>
        <w:t>и</w:t>
      </w:r>
      <w:r w:rsidR="0010690D" w:rsidRPr="00B61997">
        <w:rPr>
          <w:rFonts w:ascii="Tahoma" w:hAnsi="Tahoma" w:cs="Tahoma"/>
          <w:sz w:val="16"/>
          <w:szCs w:val="16"/>
        </w:rPr>
        <w:t>.</w:t>
      </w:r>
    </w:p>
    <w:p w:rsidR="0010690D" w:rsidRPr="00B61997" w:rsidRDefault="0010690D" w:rsidP="0010690D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10690D" w:rsidRPr="006F06FE" w:rsidRDefault="006F06FE" w:rsidP="006F06FE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F06FE">
        <w:rPr>
          <w:rFonts w:ascii="Tahoma" w:eastAsia="MS Gothic" w:hAnsi="Tahoma" w:cs="Tahoma"/>
          <w:sz w:val="20"/>
          <w:szCs w:val="20"/>
        </w:rPr>
        <w:lastRenderedPageBreak/>
        <w:t>9.</w:t>
      </w:r>
      <w:r>
        <w:rPr>
          <w:rFonts w:ascii="Tahoma" w:eastAsia="MS Gothic" w:hAnsi="Tahoma" w:cs="Tahoma"/>
          <w:sz w:val="20"/>
          <w:szCs w:val="20"/>
        </w:rPr>
        <w:t xml:space="preserve"> </w:t>
      </w:r>
      <w:r w:rsidR="0010690D" w:rsidRPr="006F06FE">
        <w:rPr>
          <w:rFonts w:ascii="Segoe UI Symbol" w:eastAsia="MS Gothic" w:hAnsi="Segoe UI Symbol" w:cs="Segoe UI Symbol"/>
          <w:sz w:val="20"/>
          <w:szCs w:val="20"/>
        </w:rPr>
        <w:t>☐</w:t>
      </w:r>
      <w:r w:rsidR="0010690D" w:rsidRPr="006F06FE">
        <w:rPr>
          <w:rFonts w:ascii="Tahoma" w:hAnsi="Tahoma" w:cs="Tahoma"/>
          <w:sz w:val="20"/>
          <w:szCs w:val="20"/>
        </w:rPr>
        <w:t> </w:t>
      </w:r>
      <w:r w:rsidR="0010690D" w:rsidRPr="006F06FE">
        <w:rPr>
          <w:rFonts w:ascii="Tahoma" w:hAnsi="Tahoma" w:cs="Tahoma"/>
          <w:sz w:val="18"/>
          <w:szCs w:val="16"/>
        </w:rPr>
        <w:t>Подтверждаю</w:t>
      </w:r>
      <w:r w:rsidR="0010690D" w:rsidRPr="006F06FE">
        <w:rPr>
          <w:rFonts w:ascii="Tahoma" w:hAnsi="Tahoma" w:cs="Tahoma"/>
          <w:sz w:val="16"/>
          <w:szCs w:val="16"/>
        </w:rPr>
        <w:t xml:space="preserve"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 w:rsidR="00E851CB" w:rsidRPr="006F06FE">
        <w:rPr>
          <w:rFonts w:ascii="Tahoma" w:hAnsi="Tahoma" w:cs="Tahoma"/>
          <w:sz w:val="16"/>
          <w:szCs w:val="16"/>
        </w:rPr>
        <w:t xml:space="preserve">соответствии меня как заемщика и цели кредита, а также иных условий, требованиям  </w:t>
      </w:r>
      <w:r w:rsidR="000220AB" w:rsidRPr="006F06FE">
        <w:rPr>
          <w:rFonts w:ascii="Tahoma" w:hAnsi="Tahoma" w:cs="Tahoma"/>
          <w:sz w:val="16"/>
          <w:szCs w:val="16"/>
        </w:rPr>
        <w:t>Федерального закон</w:t>
      </w:r>
      <w:r w:rsidR="00E851CB" w:rsidRPr="006F06FE">
        <w:rPr>
          <w:rFonts w:ascii="Tahoma" w:hAnsi="Tahoma" w:cs="Tahoma"/>
          <w:sz w:val="16"/>
          <w:szCs w:val="16"/>
        </w:rPr>
        <w:t>а</w:t>
      </w:r>
      <w:r w:rsidR="0010690D" w:rsidRPr="006F06FE">
        <w:rPr>
          <w:rFonts w:ascii="Tahoma" w:hAnsi="Tahoma" w:cs="Tahoma"/>
          <w:sz w:val="16"/>
          <w:szCs w:val="16"/>
        </w:rPr>
        <w:t>.</w:t>
      </w:r>
    </w:p>
    <w:p w:rsidR="005E29B9" w:rsidRPr="00B61997" w:rsidRDefault="005E29B9" w:rsidP="0010690D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5E29B9" w:rsidRPr="00B61997" w:rsidRDefault="00E851CB" w:rsidP="006F06FE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B61997">
        <w:rPr>
          <w:rFonts w:ascii="Tahoma" w:hAnsi="Tahoma" w:cs="Tahoma"/>
          <w:sz w:val="20"/>
          <w:szCs w:val="20"/>
        </w:rPr>
        <w:t>10.</w:t>
      </w:r>
      <w:r w:rsidRPr="00B61997"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="005E29B9" w:rsidRPr="00B619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29B9" w:rsidRPr="00B61997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="005E29B9" w:rsidRPr="00B61997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="005E29B9" w:rsidRPr="00B61997">
        <w:rPr>
          <w:rFonts w:ascii="Tahoma" w:hAnsi="Tahoma" w:cs="Tahoma"/>
          <w:sz w:val="20"/>
          <w:szCs w:val="20"/>
        </w:rPr>
        <w:t xml:space="preserve"> не согласен</w:t>
      </w:r>
    </w:p>
    <w:p w:rsidR="005E29B9" w:rsidRPr="00B61997" w:rsidRDefault="005E29B9" w:rsidP="005E29B9">
      <w:pPr>
        <w:rPr>
          <w:rFonts w:ascii="Tahoma" w:hAnsi="Tahoma" w:cs="Tahoma"/>
          <w:color w:val="44546A"/>
          <w:sz w:val="10"/>
          <w:szCs w:val="10"/>
        </w:rPr>
      </w:pPr>
    </w:p>
    <w:p w:rsidR="005E29B9" w:rsidRPr="00B61997" w:rsidRDefault="005E29B9" w:rsidP="005E29B9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B61997">
        <w:rPr>
          <w:rFonts w:ascii="Tahoma" w:hAnsi="Tahoma" w:cs="Tahoma"/>
          <w:sz w:val="16"/>
          <w:szCs w:val="18"/>
        </w:rPr>
        <w:t>На уступку Оператором прав (требовани</w:t>
      </w:r>
      <w:r w:rsidR="00D3382C" w:rsidRPr="00B61997">
        <w:rPr>
          <w:rFonts w:ascii="Tahoma" w:hAnsi="Tahoma" w:cs="Tahoma"/>
          <w:sz w:val="16"/>
          <w:szCs w:val="18"/>
        </w:rPr>
        <w:t>й</w:t>
      </w:r>
      <w:r w:rsidRPr="00B61997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B61997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B61997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 w:rsidR="00AD10A1" w:rsidRPr="00B61997">
        <w:rPr>
          <w:rFonts w:ascii="Tahoma" w:hAnsi="Tahoma" w:cs="Tahoma"/>
          <w:sz w:val="16"/>
          <w:szCs w:val="18"/>
        </w:rPr>
        <w:t xml:space="preserve">ее </w:t>
      </w:r>
      <w:r w:rsidRPr="00B61997">
        <w:rPr>
          <w:rFonts w:ascii="Tahoma" w:hAnsi="Tahoma" w:cs="Tahoma"/>
          <w:sz w:val="16"/>
          <w:szCs w:val="18"/>
        </w:rPr>
        <w:t>наличии).</w:t>
      </w:r>
    </w:p>
    <w:p w:rsidR="00A51744" w:rsidRPr="00B61997" w:rsidRDefault="00A51744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16017A" w:rsidRDefault="00CE52F9" w:rsidP="001D3788">
      <w:pPr>
        <w:pStyle w:val="aa"/>
        <w:widowControl w:val="0"/>
        <w:autoSpaceDE w:val="0"/>
        <w:autoSpaceDN w:val="0"/>
        <w:adjustRightInd w:val="0"/>
        <w:spacing w:before="6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CE52F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650312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A90817" w:rsidRPr="001D3788" w:rsidRDefault="00A90817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B16F0A" w:rsidRPr="004C4F46" w:rsidRDefault="00CE52F9" w:rsidP="001D3788">
      <w:pPr>
        <w:pStyle w:val="aa"/>
        <w:widowControl w:val="0"/>
        <w:autoSpaceDE w:val="0"/>
        <w:autoSpaceDN w:val="0"/>
        <w:adjustRightInd w:val="0"/>
        <w:spacing w:before="6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16017A" w:rsidRPr="004C4F46" w:rsidRDefault="0016017A" w:rsidP="001D3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1D3788">
      <w:pPr>
        <w:widowControl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B077E8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6F06FE" w:rsidRDefault="006F06FE" w:rsidP="00B077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</w:p>
    <w:p w:rsidR="00081FAC" w:rsidRPr="00F209AA" w:rsidRDefault="00D926B1" w:rsidP="00B077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A1" w:rsidRDefault="00875AA1" w:rsidP="00F27303">
      <w:r>
        <w:separator/>
      </w:r>
    </w:p>
  </w:endnote>
  <w:endnote w:type="continuationSeparator" w:id="0">
    <w:p w:rsidR="00875AA1" w:rsidRDefault="00875AA1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A1" w:rsidRDefault="00875AA1" w:rsidP="00F27303">
      <w:r>
        <w:separator/>
      </w:r>
    </w:p>
  </w:footnote>
  <w:footnote w:type="continuationSeparator" w:id="0">
    <w:p w:rsidR="00875AA1" w:rsidRDefault="00875AA1" w:rsidP="00F27303">
      <w:r>
        <w:continuationSeparator/>
      </w:r>
    </w:p>
  </w:footnote>
  <w:footnote w:id="1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:rsidR="00B16F0A" w:rsidRDefault="00B16F0A" w:rsidP="00B077E8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поселение Московский, Киевское ш., 22-й км, домовладение 6, стр. 1</w:t>
      </w:r>
      <w:r w:rsidR="00EE36FB">
        <w:rPr>
          <w:rFonts w:ascii="Tahoma" w:hAnsi="Tahoma" w:cs="Tahoma"/>
          <w:color w:val="auto"/>
          <w:sz w:val="14"/>
          <w:szCs w:val="14"/>
        </w:rPr>
        <w:t xml:space="preserve"> </w:t>
      </w:r>
      <w:proofErr w:type="spellStart"/>
      <w:r w:rsidR="00EE36FB">
        <w:rPr>
          <w:rFonts w:ascii="Tahoma" w:hAnsi="Tahoma" w:cs="Tahoma"/>
          <w:color w:val="auto"/>
          <w:sz w:val="14"/>
          <w:szCs w:val="14"/>
        </w:rPr>
        <w:t>эт</w:t>
      </w:r>
      <w:proofErr w:type="spellEnd"/>
      <w:r w:rsidR="00EE36FB">
        <w:rPr>
          <w:rFonts w:ascii="Tahoma" w:hAnsi="Tahoma" w:cs="Tahoma"/>
          <w:color w:val="auto"/>
          <w:sz w:val="14"/>
          <w:szCs w:val="14"/>
        </w:rPr>
        <w:t xml:space="preserve"> 5 ком 33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</w:t>
      </w:r>
      <w:r w:rsidR="00EE36FB">
        <w:rPr>
          <w:rFonts w:ascii="Tahoma" w:hAnsi="Tahoma" w:cs="Tahoma"/>
          <w:color w:val="auto"/>
          <w:sz w:val="14"/>
          <w:szCs w:val="14"/>
        </w:rPr>
        <w:t xml:space="preserve">территория </w:t>
      </w:r>
      <w:proofErr w:type="spellStart"/>
      <w:r w:rsidR="00EE36FB">
        <w:rPr>
          <w:rFonts w:ascii="Tahoma" w:hAnsi="Tahoma" w:cs="Tahoma"/>
          <w:color w:val="auto"/>
          <w:sz w:val="14"/>
          <w:szCs w:val="14"/>
        </w:rPr>
        <w:t>Сколково</w:t>
      </w:r>
      <w:proofErr w:type="spellEnd"/>
      <w:r w:rsidR="00EE36FB">
        <w:rPr>
          <w:rFonts w:ascii="Tahoma" w:hAnsi="Tahoma" w:cs="Tahoma"/>
          <w:color w:val="auto"/>
          <w:sz w:val="14"/>
          <w:szCs w:val="14"/>
        </w:rPr>
        <w:t xml:space="preserve"> инновационного центра,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ул. Блеза Паскаля, д. 2</w:t>
      </w:r>
      <w:r w:rsidR="00EE36FB">
        <w:rPr>
          <w:rFonts w:ascii="Tahoma" w:hAnsi="Tahoma" w:cs="Tahoma"/>
          <w:color w:val="auto"/>
          <w:sz w:val="14"/>
          <w:szCs w:val="14"/>
        </w:rPr>
        <w:t xml:space="preserve"> </w:t>
      </w:r>
      <w:proofErr w:type="spellStart"/>
      <w:r w:rsidR="00EE36FB">
        <w:rPr>
          <w:rFonts w:ascii="Tahoma" w:hAnsi="Tahoma" w:cs="Tahoma"/>
          <w:color w:val="auto"/>
          <w:sz w:val="14"/>
          <w:szCs w:val="14"/>
        </w:rPr>
        <w:t>эт</w:t>
      </w:r>
      <w:proofErr w:type="spellEnd"/>
      <w:r w:rsidR="00EE36FB">
        <w:rPr>
          <w:rFonts w:ascii="Tahoma" w:hAnsi="Tahoma" w:cs="Tahoma"/>
          <w:color w:val="auto"/>
          <w:sz w:val="14"/>
          <w:szCs w:val="14"/>
        </w:rPr>
        <w:t xml:space="preserve"> 7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Краснопресненская наб., 12; </w:t>
      </w:r>
      <w:r w:rsidR="00EE36FB">
        <w:rPr>
          <w:rFonts w:ascii="Tahoma" w:hAnsi="Tahoma" w:cs="Tahoma"/>
          <w:color w:val="auto"/>
          <w:sz w:val="14"/>
          <w:szCs w:val="14"/>
        </w:rPr>
        <w:t>АО «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Фонд развития Дальнего Востока и </w:t>
      </w:r>
      <w:r w:rsidR="00EE36FB">
        <w:rPr>
          <w:rFonts w:ascii="Tahoma" w:hAnsi="Tahoma" w:cs="Tahoma"/>
          <w:color w:val="auto"/>
          <w:sz w:val="14"/>
          <w:szCs w:val="14"/>
        </w:rPr>
        <w:t>Арктики»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</w:t>
      </w:r>
      <w:r w:rsidR="00EE36FB">
        <w:rPr>
          <w:rFonts w:ascii="Tahoma" w:hAnsi="Tahoma" w:cs="Tahoma"/>
          <w:color w:val="auto"/>
          <w:sz w:val="14"/>
          <w:szCs w:val="14"/>
        </w:rPr>
        <w:t xml:space="preserve"> офис 17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; АО «Российское агентство по страхованию экспортных кредитов и инвестиций» г. Москва, </w:t>
      </w:r>
      <w:r w:rsidR="00EE36FB">
        <w:rPr>
          <w:rFonts w:ascii="Tahoma" w:hAnsi="Tahoma" w:cs="Tahoma"/>
          <w:color w:val="auto"/>
          <w:sz w:val="14"/>
          <w:szCs w:val="14"/>
        </w:rPr>
        <w:t>Красноп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АО «Российская венчурная компания» г. Москва, </w:t>
      </w:r>
      <w:r w:rsidR="00EE36FB">
        <w:rPr>
          <w:rFonts w:ascii="Tahoma" w:hAnsi="Tahoma" w:cs="Tahoma"/>
          <w:color w:val="auto"/>
          <w:sz w:val="14"/>
          <w:szCs w:val="14"/>
        </w:rPr>
        <w:t xml:space="preserve">территория </w:t>
      </w:r>
      <w:proofErr w:type="spellStart"/>
      <w:r w:rsidR="00EE36FB">
        <w:rPr>
          <w:rFonts w:ascii="Tahoma" w:hAnsi="Tahoma" w:cs="Tahoma"/>
          <w:color w:val="auto"/>
          <w:sz w:val="14"/>
          <w:szCs w:val="14"/>
        </w:rPr>
        <w:t>Сколково</w:t>
      </w:r>
      <w:proofErr w:type="spellEnd"/>
      <w:r w:rsidR="00EE36FB">
        <w:rPr>
          <w:rFonts w:ascii="Tahoma" w:hAnsi="Tahoma" w:cs="Tahoma"/>
          <w:color w:val="auto"/>
          <w:sz w:val="14"/>
          <w:szCs w:val="14"/>
        </w:rPr>
        <w:t xml:space="preserve"> инновационного центра,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</w:t>
      </w:r>
      <w:r w:rsidR="00EE36FB">
        <w:rPr>
          <w:rFonts w:ascii="Tahoma" w:hAnsi="Tahoma" w:cs="Tahoma"/>
          <w:color w:val="auto"/>
          <w:sz w:val="14"/>
          <w:szCs w:val="14"/>
        </w:rPr>
        <w:t>, офис 708.1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АО «ДОМ.РФ», г. Москва, ул. Воздвиженка, дом 10 (ООО «ДОМ.РФ Управление активами»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дом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proofErr w:type="spellStart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пом</w:t>
      </w:r>
      <w:proofErr w:type="spellEnd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 w:rsidRPr="00BD6A1C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ком 177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, ООО «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Цифровые технологии»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дом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пом./ком.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/86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, ООО «ДОМ.РФ Ипотечный агент»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proofErr w:type="spellStart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пом</w:t>
      </w:r>
      <w:proofErr w:type="spellEnd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 w:rsidRPr="00025102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ком. 177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, ООО «ДОМ.РФ Управление проектами»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proofErr w:type="spellStart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пом</w:t>
      </w:r>
      <w:proofErr w:type="spellEnd"/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 w:rsidRPr="00025102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ком. 164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ФОНД ДОМ.РФ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пом./ком.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/45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, Фонд защиты прав граждан – участников долевого строительства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пом./ком.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/18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; ООО «Технический заказчик Фонда защиты прав граждан – участников долевого строительства»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пом./ком.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/132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; Фонд «Специальные проекты Фонда защиты прав дольщиков»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г. Москва, ул. Воздвиженка, д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</w:t>
      </w:r>
      <w:r w:rsidR="00CD7BC7" w:rsidRPr="00E87596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10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пом./ком. 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val="en-US" w:eastAsia="en-US"/>
        </w:rPr>
        <w:t>XI</w:t>
      </w:r>
      <w:r w:rsidR="00CD7BC7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/179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), </w:t>
      </w:r>
      <w:r w:rsidRPr="001816ED">
        <w:rPr>
          <w:rFonts w:ascii="Tahoma" w:hAnsi="Tahoma" w:cs="Tahoma"/>
          <w:sz w:val="14"/>
          <w:szCs w:val="14"/>
        </w:rPr>
        <w:t>АО «АльфаСтрахование» г. Москва, ул.</w:t>
      </w:r>
      <w:r w:rsidR="00CD7BC7">
        <w:rPr>
          <w:rFonts w:ascii="Tahoma" w:hAnsi="Tahoma" w:cs="Tahoma"/>
          <w:sz w:val="14"/>
          <w:szCs w:val="14"/>
        </w:rPr>
        <w:t xml:space="preserve"> </w:t>
      </w:r>
      <w:r w:rsidRPr="001816ED">
        <w:rPr>
          <w:rFonts w:ascii="Tahoma" w:hAnsi="Tahoma" w:cs="Tahoma"/>
          <w:sz w:val="14"/>
          <w:szCs w:val="14"/>
        </w:rPr>
        <w:t>Шаболовка, д.31, стр.</w:t>
      </w:r>
      <w:r w:rsidR="00CD7BC7">
        <w:rPr>
          <w:rFonts w:ascii="Tahoma" w:hAnsi="Tahoma" w:cs="Tahoma"/>
          <w:sz w:val="14"/>
          <w:szCs w:val="14"/>
        </w:rPr>
        <w:t xml:space="preserve"> 11</w:t>
      </w:r>
      <w:r w:rsidRPr="001816ED">
        <w:rPr>
          <w:rFonts w:ascii="Tahoma" w:hAnsi="Tahoma" w:cs="Tahoma"/>
          <w:sz w:val="14"/>
          <w:szCs w:val="14"/>
        </w:rPr>
        <w:t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</w:t>
      </w:r>
      <w:r w:rsidR="00CD7BC7">
        <w:rPr>
          <w:rFonts w:ascii="Tahoma" w:hAnsi="Tahoma" w:cs="Tahoma"/>
          <w:sz w:val="14"/>
          <w:szCs w:val="14"/>
        </w:rPr>
        <w:t xml:space="preserve"> Тауэр</w:t>
      </w:r>
      <w:r w:rsidRPr="001816ED">
        <w:rPr>
          <w:rFonts w:ascii="Tahoma" w:hAnsi="Tahoma" w:cs="Tahoma"/>
          <w:sz w:val="14"/>
          <w:szCs w:val="14"/>
        </w:rPr>
        <w:t xml:space="preserve">» г. Москва, проспект Академика Сахарова, д.10; </w:t>
      </w:r>
      <w:r w:rsidR="00CD7BC7">
        <w:rPr>
          <w:rFonts w:ascii="Tahoma" w:hAnsi="Tahoma" w:cs="Tahoma"/>
          <w:sz w:val="14"/>
          <w:szCs w:val="14"/>
        </w:rPr>
        <w:t>А</w:t>
      </w:r>
      <w:r w:rsidRPr="001816ED">
        <w:rPr>
          <w:rFonts w:ascii="Tahoma" w:hAnsi="Tahoma" w:cs="Tahoma"/>
          <w:sz w:val="14"/>
          <w:szCs w:val="14"/>
        </w:rPr>
        <w:t xml:space="preserve">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="00CD7BC7">
        <w:rPr>
          <w:rFonts w:ascii="Tahoma" w:hAnsi="Tahoma" w:cs="Tahoma"/>
          <w:sz w:val="14"/>
          <w:szCs w:val="14"/>
        </w:rPr>
        <w:t xml:space="preserve">, </w:t>
      </w:r>
      <w:r w:rsidR="00CD7BC7" w:rsidRPr="00BD6A1C">
        <w:rPr>
          <w:rFonts w:ascii="Tahoma" w:hAnsi="Tahoma" w:cs="Tahoma"/>
          <w:sz w:val="14"/>
          <w:szCs w:val="14"/>
        </w:rPr>
        <w:t>этаж/</w:t>
      </w:r>
      <w:proofErr w:type="spellStart"/>
      <w:r w:rsidR="00CD7BC7" w:rsidRPr="00BD6A1C">
        <w:rPr>
          <w:rFonts w:ascii="Tahoma" w:hAnsi="Tahoma" w:cs="Tahoma"/>
          <w:sz w:val="14"/>
          <w:szCs w:val="14"/>
        </w:rPr>
        <w:t>пом</w:t>
      </w:r>
      <w:proofErr w:type="spellEnd"/>
      <w:r w:rsidR="00CD7BC7" w:rsidRPr="00BD6A1C">
        <w:rPr>
          <w:rFonts w:ascii="Tahoma" w:hAnsi="Tahoma" w:cs="Tahoma"/>
          <w:sz w:val="14"/>
          <w:szCs w:val="14"/>
        </w:rPr>
        <w:t xml:space="preserve"> 4/XIII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Default="00CE52F9" w:rsidP="001D3788">
        <w:pPr>
          <w:pStyle w:val="ac"/>
          <w:jc w:val="center"/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4B7748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5CD26E64"/>
    <w:lvl w:ilvl="0" w:tplc="6CC09B8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0AB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96B89"/>
    <w:rsid w:val="000A0F8B"/>
    <w:rsid w:val="000A11AE"/>
    <w:rsid w:val="000A2A2F"/>
    <w:rsid w:val="000A2B11"/>
    <w:rsid w:val="000A2F8B"/>
    <w:rsid w:val="000A496E"/>
    <w:rsid w:val="000B3E7F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0F678A"/>
    <w:rsid w:val="00101495"/>
    <w:rsid w:val="00104689"/>
    <w:rsid w:val="0010690D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076F"/>
    <w:rsid w:val="001D19C5"/>
    <w:rsid w:val="001D3788"/>
    <w:rsid w:val="001D7F73"/>
    <w:rsid w:val="001E4598"/>
    <w:rsid w:val="001E4A0F"/>
    <w:rsid w:val="00200113"/>
    <w:rsid w:val="00203808"/>
    <w:rsid w:val="00205180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79E"/>
    <w:rsid w:val="00256CEB"/>
    <w:rsid w:val="002605F7"/>
    <w:rsid w:val="00261CC9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2F6100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71282"/>
    <w:rsid w:val="00377F47"/>
    <w:rsid w:val="003846DA"/>
    <w:rsid w:val="003A67E9"/>
    <w:rsid w:val="003B2CB5"/>
    <w:rsid w:val="003C71C1"/>
    <w:rsid w:val="003F38DB"/>
    <w:rsid w:val="003F3F31"/>
    <w:rsid w:val="003F66B7"/>
    <w:rsid w:val="003F6DD5"/>
    <w:rsid w:val="00406696"/>
    <w:rsid w:val="004149E1"/>
    <w:rsid w:val="00414E9E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85876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B7748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02F0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153D"/>
    <w:rsid w:val="005837CD"/>
    <w:rsid w:val="00597B78"/>
    <w:rsid w:val="005B0E0E"/>
    <w:rsid w:val="005E29B9"/>
    <w:rsid w:val="005F0858"/>
    <w:rsid w:val="005F33B9"/>
    <w:rsid w:val="005F6EA5"/>
    <w:rsid w:val="005F7CB2"/>
    <w:rsid w:val="00601E2D"/>
    <w:rsid w:val="00606C4E"/>
    <w:rsid w:val="00610E71"/>
    <w:rsid w:val="0061194E"/>
    <w:rsid w:val="00613A6D"/>
    <w:rsid w:val="006166CF"/>
    <w:rsid w:val="006338C0"/>
    <w:rsid w:val="00636E50"/>
    <w:rsid w:val="0064392E"/>
    <w:rsid w:val="00646CB1"/>
    <w:rsid w:val="00650312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786B"/>
    <w:rsid w:val="006B508C"/>
    <w:rsid w:val="006C561C"/>
    <w:rsid w:val="006C574C"/>
    <w:rsid w:val="006C5DAE"/>
    <w:rsid w:val="006D3868"/>
    <w:rsid w:val="006D7990"/>
    <w:rsid w:val="006E16EB"/>
    <w:rsid w:val="006E23D2"/>
    <w:rsid w:val="006E4B41"/>
    <w:rsid w:val="006F06FE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6DD0"/>
    <w:rsid w:val="0076787B"/>
    <w:rsid w:val="00772104"/>
    <w:rsid w:val="00780287"/>
    <w:rsid w:val="00795DC6"/>
    <w:rsid w:val="007B1FD1"/>
    <w:rsid w:val="007B539F"/>
    <w:rsid w:val="007C4371"/>
    <w:rsid w:val="007C4699"/>
    <w:rsid w:val="007C5308"/>
    <w:rsid w:val="007D47E6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63E91"/>
    <w:rsid w:val="00875AA1"/>
    <w:rsid w:val="00876DBD"/>
    <w:rsid w:val="008809BB"/>
    <w:rsid w:val="0088410F"/>
    <w:rsid w:val="008934CC"/>
    <w:rsid w:val="00897989"/>
    <w:rsid w:val="008A255A"/>
    <w:rsid w:val="008A3554"/>
    <w:rsid w:val="008B7DB2"/>
    <w:rsid w:val="008C345B"/>
    <w:rsid w:val="008C5418"/>
    <w:rsid w:val="008D0769"/>
    <w:rsid w:val="008D5183"/>
    <w:rsid w:val="008D5FBB"/>
    <w:rsid w:val="008E0921"/>
    <w:rsid w:val="008F6076"/>
    <w:rsid w:val="00903542"/>
    <w:rsid w:val="00915F23"/>
    <w:rsid w:val="009259C4"/>
    <w:rsid w:val="00927573"/>
    <w:rsid w:val="009309DE"/>
    <w:rsid w:val="00932FF3"/>
    <w:rsid w:val="00935FF2"/>
    <w:rsid w:val="009375C0"/>
    <w:rsid w:val="00942C10"/>
    <w:rsid w:val="00950AB2"/>
    <w:rsid w:val="0095404A"/>
    <w:rsid w:val="00965C5B"/>
    <w:rsid w:val="009710E6"/>
    <w:rsid w:val="00985B2F"/>
    <w:rsid w:val="009B302A"/>
    <w:rsid w:val="009C5451"/>
    <w:rsid w:val="009C54BE"/>
    <w:rsid w:val="009C56D9"/>
    <w:rsid w:val="009D3EE1"/>
    <w:rsid w:val="009E1539"/>
    <w:rsid w:val="009E2929"/>
    <w:rsid w:val="009E45B9"/>
    <w:rsid w:val="009F127F"/>
    <w:rsid w:val="009F7B33"/>
    <w:rsid w:val="00A0427D"/>
    <w:rsid w:val="00A15FDA"/>
    <w:rsid w:val="00A15FE0"/>
    <w:rsid w:val="00A23646"/>
    <w:rsid w:val="00A25D0F"/>
    <w:rsid w:val="00A2623B"/>
    <w:rsid w:val="00A27B3B"/>
    <w:rsid w:val="00A344AB"/>
    <w:rsid w:val="00A355D7"/>
    <w:rsid w:val="00A4373D"/>
    <w:rsid w:val="00A51744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10A1"/>
    <w:rsid w:val="00AD41FA"/>
    <w:rsid w:val="00AD51D3"/>
    <w:rsid w:val="00AE1F08"/>
    <w:rsid w:val="00AE6C0E"/>
    <w:rsid w:val="00AF7E2A"/>
    <w:rsid w:val="00B077E8"/>
    <w:rsid w:val="00B16F0A"/>
    <w:rsid w:val="00B26995"/>
    <w:rsid w:val="00B27F1F"/>
    <w:rsid w:val="00B311EB"/>
    <w:rsid w:val="00B3354F"/>
    <w:rsid w:val="00B352CB"/>
    <w:rsid w:val="00B36BAD"/>
    <w:rsid w:val="00B45287"/>
    <w:rsid w:val="00B45C0F"/>
    <w:rsid w:val="00B52442"/>
    <w:rsid w:val="00B61997"/>
    <w:rsid w:val="00B62A66"/>
    <w:rsid w:val="00B71E17"/>
    <w:rsid w:val="00B825B3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3C58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D7BC7"/>
    <w:rsid w:val="00CE1903"/>
    <w:rsid w:val="00CE2271"/>
    <w:rsid w:val="00CE25E7"/>
    <w:rsid w:val="00CE3496"/>
    <w:rsid w:val="00CE361E"/>
    <w:rsid w:val="00CE4F7E"/>
    <w:rsid w:val="00CE52F9"/>
    <w:rsid w:val="00CE799A"/>
    <w:rsid w:val="00D058AA"/>
    <w:rsid w:val="00D1037D"/>
    <w:rsid w:val="00D146F8"/>
    <w:rsid w:val="00D236D5"/>
    <w:rsid w:val="00D30739"/>
    <w:rsid w:val="00D3382C"/>
    <w:rsid w:val="00D359C7"/>
    <w:rsid w:val="00D44E0F"/>
    <w:rsid w:val="00D51DAA"/>
    <w:rsid w:val="00D52885"/>
    <w:rsid w:val="00D52C9C"/>
    <w:rsid w:val="00D54AD4"/>
    <w:rsid w:val="00D574F2"/>
    <w:rsid w:val="00D7303D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938"/>
    <w:rsid w:val="00DD0FE3"/>
    <w:rsid w:val="00DD26CB"/>
    <w:rsid w:val="00DD4C2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10E1"/>
    <w:rsid w:val="00E539A4"/>
    <w:rsid w:val="00E56061"/>
    <w:rsid w:val="00E61FF5"/>
    <w:rsid w:val="00E67043"/>
    <w:rsid w:val="00E71CBB"/>
    <w:rsid w:val="00E77214"/>
    <w:rsid w:val="00E80002"/>
    <w:rsid w:val="00E851CB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6FB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3336A"/>
    <w:rsid w:val="00F464B6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58B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4235-38D0-4C65-AB9A-7EAA1A9C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amaligin</cp:lastModifiedBy>
  <cp:revision>2</cp:revision>
  <cp:lastPrinted>2018-12-14T12:45:00Z</cp:lastPrinted>
  <dcterms:created xsi:type="dcterms:W3CDTF">2020-06-02T07:08:00Z</dcterms:created>
  <dcterms:modified xsi:type="dcterms:W3CDTF">2020-06-02T07:08:00Z</dcterms:modified>
</cp:coreProperties>
</file>